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5A4" w:rsidRPr="008F5D47" w:rsidRDefault="000945A4" w:rsidP="000945A4">
      <w:pPr>
        <w:widowControl w:val="0"/>
        <w:spacing w:before="840" w:after="560" w:line="300" w:lineRule="exact"/>
        <w:ind w:firstLine="0"/>
        <w:rPr>
          <w:rFonts w:eastAsia="Calibri" w:cs="David"/>
          <w:b/>
          <w:bCs/>
          <w:color w:val="auto"/>
          <w:sz w:val="46"/>
          <w:szCs w:val="46"/>
          <w:rtl/>
        </w:rPr>
      </w:pPr>
      <w:r w:rsidRPr="008F5D47">
        <w:rPr>
          <w:rFonts w:eastAsia="Calibri" w:cs="David" w:hint="cs"/>
          <w:b/>
          <w:bCs/>
          <w:color w:val="auto"/>
          <w:sz w:val="34"/>
          <w:szCs w:val="34"/>
          <w:rtl/>
        </w:rPr>
        <w:t>הרב</w:t>
      </w:r>
      <w:r>
        <w:rPr>
          <w:rFonts w:eastAsia="Calibri" w:cs="David" w:hint="cs"/>
          <w:b/>
          <w:bCs/>
          <w:color w:val="auto"/>
          <w:sz w:val="34"/>
          <w:szCs w:val="34"/>
          <w:rtl/>
        </w:rPr>
        <w:t xml:space="preserve"> נחום וייספיש</w:t>
      </w:r>
      <w:r w:rsidRPr="008F5D47">
        <w:rPr>
          <w:rFonts w:eastAsia="Calibri" w:cs="David" w:hint="cs"/>
          <w:b/>
          <w:bCs/>
          <w:color w:val="auto"/>
          <w:sz w:val="34"/>
          <w:szCs w:val="34"/>
          <w:rtl/>
        </w:rPr>
        <w:t xml:space="preserve"> </w:t>
      </w:r>
    </w:p>
    <w:p w:rsidR="000945A4" w:rsidRPr="00400B81" w:rsidRDefault="000945A4" w:rsidP="000945A4">
      <w:pPr>
        <w:widowControl w:val="0"/>
        <w:spacing w:after="360" w:line="300" w:lineRule="auto"/>
        <w:ind w:firstLine="0"/>
        <w:jc w:val="center"/>
        <w:rPr>
          <w:rFonts w:eastAsia="Calibri" w:cs="David"/>
          <w:b/>
          <w:bCs/>
          <w:color w:val="auto"/>
          <w:sz w:val="42"/>
          <w:szCs w:val="42"/>
          <w:rtl/>
        </w:rPr>
      </w:pPr>
      <w:r w:rsidRPr="00F87F87">
        <w:rPr>
          <w:rFonts w:eastAsia="Calibri" w:cs="David"/>
          <w:b/>
          <w:bCs/>
          <w:color w:val="auto"/>
          <w:sz w:val="42"/>
          <w:szCs w:val="42"/>
          <w:rtl/>
        </w:rPr>
        <w:t>'בגד מתחלף' האם יש בו איסור כותב בשבת</w:t>
      </w:r>
    </w:p>
    <w:p w:rsidR="000945A4" w:rsidRPr="00F87F87" w:rsidRDefault="000945A4" w:rsidP="000945A4">
      <w:pPr>
        <w:widowControl w:val="0"/>
        <w:spacing w:after="360" w:line="330" w:lineRule="exact"/>
        <w:ind w:firstLine="0"/>
        <w:rPr>
          <w:rFonts w:eastAsia="Calibri"/>
          <w:b/>
          <w:color w:val="auto"/>
          <w:sz w:val="26"/>
          <w:szCs w:val="26"/>
        </w:rPr>
      </w:pPr>
      <w:r w:rsidRPr="00F87F87">
        <w:rPr>
          <w:rFonts w:eastAsia="Calibri"/>
          <w:b/>
          <w:color w:val="auto"/>
          <w:sz w:val="26"/>
          <w:szCs w:val="26"/>
          <w:rtl/>
        </w:rPr>
        <w:t xml:space="preserve">יש כיום בגדי ילדות שהדוגמא בבגד היא ציור המתחלף בתנועת היד לציור אחר. הציור </w:t>
      </w:r>
      <w:bookmarkStart w:id="0" w:name="_GoBack"/>
      <w:bookmarkEnd w:id="0"/>
      <w:r w:rsidRPr="00F87F87">
        <w:rPr>
          <w:rFonts w:eastAsia="Calibri"/>
          <w:b/>
          <w:color w:val="auto"/>
          <w:sz w:val="26"/>
          <w:szCs w:val="26"/>
          <w:rtl/>
        </w:rPr>
        <w:t>עשוי מהרבה 'פייטים' שהם כמין קשקשים קטנים בצבעים שונים, שמהם מורכב ציור או כיתוב, וניתן להפוך הציור לציור אחר שיש בפייטים מצידם השני. ויל"ע האם אסור להחליף הציור ביד בשבת משום מלאכת כותב.</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[יש בגדים שהקשקשים הם ללא דוגמא אלא צד אחד צבע לבן לדוגמא וצד אחד שחור, וע"י ההיפוך של חלק מהכתב יוצרים צורות, וכה"ג ודאי אסור, ונד"ד הוא כשיש דוגמא של כתב או ציור אלא שניתן להופכה ובכך למוחקה ולכותבה].</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הנה דנו האחרונים אודות אותיות הכתובות על חודי הדפים של הספר, שבפתיחת הספר הרי הם כמחוקות ובסגירתו חוזר הכתב ונראה, אם יש בו משום כותב בסגירתו ומשום מוחק בפתיחתו; בשו"ת הרמ"א התיר הדבר, והלבוש אוסרו וחושש לו מחטאת, ובמ"ב כ' דנכון להחמיר בדבר. ולכאו' הנדון שם דומה לנדון דידן, וכן אמר הגרמ"ש קליין שליט"א, אולם לכאו' נראה דהסברות שנאמרו באחרונים שם אינן שייכות כאן וכדלהלן.</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בשו"ת הרמ"א סי' קי"ט כ' כמה סברות להיתר; הסברא הראשונה, דכיון שהוא עשוי לפתוח ולסגור הוי כפתיחת דלת דשרי, וכן העתיק המ"ב מכמה אחרונים, ומצינו סברא זו במג"א וט"ז סי' שי"ג ס"ו לענין סגירת פקקים של הברגה, שאין בהם משום בונה כיון שעשוים לפתוח ולסגור, ומבואר בט"ז ובפמ"ג דהוא משום שכל תשמיש הכלי הוא ע"י פתיחה וסגירה, וכמו שהדגיש זאת החזו"א בסי' נ"א. וזה שייך בכלי שהשימוש של המכסה הוא דוקא ע"י פתיחה וסגירה, והכי נמי בכתב שבחודי הדפים של הספר שהספר עשוי לפתיחה וסגירה וזהו עיקר תשמישו, אבל בנד"ד בדוגמא של הבגד אין שייך סברא זו, ולהכי אף שעשוי להפוך הציור אין מקור משם להתיר זאת, שאין הוא מוכרח לפתוח ולסגור מצד עיקר תשמישו.</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סברא נוספת כ' בשו"ת הרמ"א להתיר, וכן העתיק השו"ע הרב לדינא להתיר מטעם זה, מהא דאמרינן בשבת קד: א"ר אמי כתב אות אחת בטבריה ואחת בציפורי חייב, כתיבה היא אלא שמחוסר קריבה. וחזינן מהא דחייב על כתיבה כזו אף שרחוקות עדיין האותיות זו מזו משום דאינו אלא מחוסר קריבה, הרי דקריבה עצמה אינה מלאכה, ומותר בשבת לקרבה, דהוי ככתב ע"ג כתב, שהרי כבר נעשית מלאכת כתיבת אותיות אלו.</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 xml:space="preserve">מוסיף הרמ"א דכמו בכותב אות אחת בטבריה ואחת בציפורי, הכי נמי בחצי אות בטבריה וחצי אות בציפורי כיון שאינו אלא מחוסר קריבה מותר בשבת לקרב שני החצאים ואינו חשוב כותב, ולהכי מותר לסגור הספר שכתובים אותיות על חודי הדפים, לפי שהאותיות </w:t>
      </w:r>
      <w:r w:rsidRPr="00F87F87">
        <w:rPr>
          <w:rFonts w:eastAsia="Calibri"/>
          <w:b/>
          <w:color w:val="auto"/>
          <w:sz w:val="26"/>
          <w:szCs w:val="26"/>
          <w:rtl/>
        </w:rPr>
        <w:lastRenderedPageBreak/>
        <w:t>כבר כתובות, אלא שמחוסר קריבה.</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והנה דברי הרמ"א דאף הכותב חצי אות בדף זה וחצי אות בדף אחר חשוב כתיבה צ"ב, דהא לא כתב אות שלמה ומהי המלאכה בזה. ונראה פשוט דאף לדברי הרמ"א דלקרב חלקי אות אינו כותב, מ"מ אם יש ריבועי נייר לבנים ושחורים וכותב בשבת אותיות על ידי סידורם שהשחורים הם הכתב והלבנים החלק, ודאי שהוא חשוב ככותב, ולא נימא שכבר היה כתוב ואינו אלא מחוסר קריבה, שהרי בריבועים הללו אין קיים עדיין מקצת אות, אלא היא צורה שאפשר ליצור ממנה כל אות שהיא, והרי הכתב עדיין לא קיים, משא"כ בחצי אות שמחוסר קריבה שהאות המסוימת כבר נוצרה, וכ"כ בספר ארחות שבת.</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וא"כ בנד"ד בדוגמא שע"ג הבגד, שהקשקשים הללו יוצרים כתב בצירופם, וכל קשקש לעצמו הוא בצבע אחיד, הרי אין בו אף חלק של אות, אלא ע"י העמדתם בצורה מסוימת הם מרכיבים הכתב, נמצא שהעמדתם היא הכתיבה, וא"כ יש לאוסרו בשבת.</w:t>
      </w:r>
    </w:p>
    <w:p w:rsidR="000945A4" w:rsidRDefault="000945A4" w:rsidP="000945A4">
      <w:pPr>
        <w:widowControl w:val="0"/>
        <w:spacing w:after="360" w:line="330" w:lineRule="exact"/>
        <w:ind w:firstLine="0"/>
        <w:rPr>
          <w:rFonts w:eastAsia="Calibri" w:hint="cs"/>
          <w:b/>
          <w:color w:val="auto"/>
          <w:sz w:val="26"/>
          <w:szCs w:val="26"/>
          <w:rtl/>
        </w:rPr>
      </w:pPr>
      <w:r w:rsidRPr="00F87F87">
        <w:rPr>
          <w:rFonts w:eastAsia="Calibri"/>
          <w:b/>
          <w:color w:val="auto"/>
          <w:sz w:val="26"/>
          <w:szCs w:val="26"/>
          <w:rtl/>
        </w:rPr>
        <w:t>אלא שיש להסתפק בהבנת הדבר דחשוב כמלאכת כותב בכך שיש כאן יצירה של חלקי אות להרמ"א, אם הוא משום שצורת חצי אות מצד עצמה חשובה</w:t>
      </w:r>
      <w:r w:rsidRPr="00040AD1">
        <w:rPr>
          <w:rFonts w:eastAsia="Calibri"/>
          <w:b/>
          <w:color w:val="auto"/>
          <w:sz w:val="36"/>
          <w:szCs w:val="36"/>
          <w:rtl/>
        </w:rPr>
        <w:t xml:space="preserve"> </w:t>
      </w:r>
      <w:r w:rsidRPr="00F87F87">
        <w:rPr>
          <w:rFonts w:eastAsia="Calibri"/>
          <w:b/>
          <w:color w:val="auto"/>
          <w:sz w:val="26"/>
          <w:szCs w:val="26"/>
          <w:rtl/>
        </w:rPr>
        <w:t>כיצירה</w:t>
      </w:r>
      <w:r w:rsidRPr="00040AD1">
        <w:rPr>
          <w:rFonts w:eastAsia="Calibri"/>
          <w:b/>
          <w:color w:val="auto"/>
          <w:sz w:val="36"/>
          <w:szCs w:val="36"/>
          <w:rtl/>
        </w:rPr>
        <w:t xml:space="preserve"> </w:t>
      </w:r>
      <w:r w:rsidRPr="00F87F87">
        <w:rPr>
          <w:rFonts w:eastAsia="Calibri"/>
          <w:b/>
          <w:color w:val="auto"/>
          <w:sz w:val="26"/>
          <w:szCs w:val="26"/>
          <w:rtl/>
        </w:rPr>
        <w:t>של</w:t>
      </w:r>
      <w:r w:rsidRPr="00040AD1">
        <w:rPr>
          <w:rFonts w:eastAsia="Calibri"/>
          <w:b/>
          <w:color w:val="auto"/>
          <w:sz w:val="36"/>
          <w:szCs w:val="36"/>
          <w:rtl/>
        </w:rPr>
        <w:t xml:space="preserve"> </w:t>
      </w:r>
      <w:r w:rsidRPr="00F87F87">
        <w:rPr>
          <w:rFonts w:eastAsia="Calibri"/>
          <w:b/>
          <w:color w:val="auto"/>
          <w:sz w:val="26"/>
          <w:szCs w:val="26"/>
          <w:rtl/>
        </w:rPr>
        <w:t>צורה</w:t>
      </w:r>
      <w:r w:rsidRPr="00040AD1">
        <w:rPr>
          <w:rFonts w:eastAsia="Calibri"/>
          <w:b/>
          <w:color w:val="auto"/>
          <w:sz w:val="36"/>
          <w:szCs w:val="36"/>
          <w:rtl/>
        </w:rPr>
        <w:t xml:space="preserve"> </w:t>
      </w:r>
      <w:r w:rsidRPr="00F87F87">
        <w:rPr>
          <w:rFonts w:eastAsia="Calibri"/>
          <w:b/>
          <w:color w:val="auto"/>
          <w:sz w:val="26"/>
          <w:szCs w:val="26"/>
          <w:rtl/>
        </w:rPr>
        <w:t>והוי</w:t>
      </w:r>
      <w:r w:rsidRPr="00040AD1">
        <w:rPr>
          <w:rFonts w:eastAsia="Calibri"/>
          <w:b/>
          <w:color w:val="auto"/>
          <w:sz w:val="36"/>
          <w:szCs w:val="36"/>
          <w:rtl/>
        </w:rPr>
        <w:t xml:space="preserve"> </w:t>
      </w:r>
      <w:r w:rsidRPr="00F87F87">
        <w:rPr>
          <w:rFonts w:eastAsia="Calibri"/>
          <w:b/>
          <w:color w:val="auto"/>
          <w:sz w:val="26"/>
          <w:szCs w:val="26"/>
          <w:rtl/>
        </w:rPr>
        <w:t>כתב,</w:t>
      </w:r>
      <w:r w:rsidRPr="00040AD1">
        <w:rPr>
          <w:rFonts w:eastAsia="Calibri"/>
          <w:b/>
          <w:color w:val="auto"/>
          <w:sz w:val="36"/>
          <w:szCs w:val="36"/>
          <w:rtl/>
        </w:rPr>
        <w:t xml:space="preserve"> </w:t>
      </w:r>
      <w:r w:rsidRPr="00F87F87">
        <w:rPr>
          <w:rFonts w:eastAsia="Calibri"/>
          <w:b/>
          <w:color w:val="auto"/>
          <w:sz w:val="26"/>
          <w:szCs w:val="26"/>
          <w:rtl/>
        </w:rPr>
        <w:t>או</w:t>
      </w:r>
      <w:r w:rsidRPr="00040AD1">
        <w:rPr>
          <w:rFonts w:eastAsia="Calibri"/>
          <w:b/>
          <w:color w:val="auto"/>
          <w:sz w:val="36"/>
          <w:szCs w:val="36"/>
          <w:rtl/>
        </w:rPr>
        <w:t xml:space="preserve"> </w:t>
      </w:r>
      <w:r w:rsidRPr="00F87F87">
        <w:rPr>
          <w:rFonts w:eastAsia="Calibri"/>
          <w:b/>
          <w:color w:val="auto"/>
          <w:sz w:val="26"/>
          <w:szCs w:val="26"/>
          <w:rtl/>
        </w:rPr>
        <w:t>דאה"נ</w:t>
      </w:r>
      <w:r w:rsidRPr="00040AD1">
        <w:rPr>
          <w:rFonts w:eastAsia="Calibri"/>
          <w:b/>
          <w:color w:val="auto"/>
          <w:sz w:val="36"/>
          <w:szCs w:val="36"/>
          <w:rtl/>
        </w:rPr>
        <w:t xml:space="preserve"> </w:t>
      </w:r>
      <w:r w:rsidRPr="00F87F87">
        <w:rPr>
          <w:rFonts w:eastAsia="Calibri"/>
          <w:b/>
          <w:color w:val="auto"/>
          <w:sz w:val="26"/>
          <w:szCs w:val="26"/>
          <w:rtl/>
        </w:rPr>
        <w:t xml:space="preserve">כל </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זמן שלא קירבם ליכא כתב, אלא כיון שהכין חלקי האות הראוים ליצור כתב שאינו אלא מחוסר קריבה, ויש כאן כתב בכוח ולא בפועל, חשוב שכבר נשלמה המלאכה. ובשו"ת הרמ"א אין הכרע לדבר, ובשו"ת מהר"ש הלוי [ציינו המג"א בדבריו] נראה שהטעם שחייב על חלקי אות הוא משום שהם קיימים עתה, כחלקי אות וכל חלק הוא כתב, ולהכי חייב.</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והנפק"מ היא בנד"ד, דאם הגדר דבחודי הדפים חשוב ככתב מחמת שחלק של אות הוא כבר כתב בעצמו, הרי הכא כל קשקש אין בו כתב כאשר הוא הפוך, וא"כ כשהופכם הוא כותב גמור, אבל אם הביאור בד' הרמ"א מחמת שיש כתיבה ב'בכח' הרי אף בנד"ד יש כבר כתב בכח שהרי סידור הקשקשים עומד במקומו בצורה בהכתב מוכן אלא שמחוסר היפוך בלבד, וכשהופכם אינו חשוב מלאכה שהוא כקירוב האותיות.</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 xml:space="preserve">עוד טעם כ' בשו"ת חות יאיר י"ז להתיר דהוי כתב שאינו מתקיים, ולכאו' טעם זה שייך התם דהספר כיון שעשייתו לפתוח ולסגור הרי אינו עשוי להתקיים, אבל בבגד הרי דוגמא זו אין לה סיבה בעצם שתתבטל ולא תתקיים, ועוד שהרי אחת מהציורים בכל אופן קיימת, א"כ איך נאמר שחשוב אינו מתקיים, הרי יש כאן כתב. ובחזו"א סי' ס"א כתב ההיתר בספר משום דלא מקרי כותב </w:t>
      </w:r>
      <w:r w:rsidRPr="00F87F87">
        <w:rPr>
          <w:rFonts w:eastAsia="Calibri"/>
          <w:b/>
          <w:bCs/>
          <w:color w:val="auto"/>
          <w:sz w:val="26"/>
          <w:szCs w:val="26"/>
          <w:rtl/>
        </w:rPr>
        <w:t>על</w:t>
      </w:r>
      <w:r w:rsidRPr="00F87F87">
        <w:rPr>
          <w:rFonts w:eastAsia="Calibri"/>
          <w:b/>
          <w:color w:val="auto"/>
          <w:sz w:val="26"/>
          <w:szCs w:val="26"/>
          <w:rtl/>
        </w:rPr>
        <w:t xml:space="preserve"> דבר המתקיים, דחודי הדפים אינו חיבור חשוב להחשיבו כנכתב על דבר המתקיים, אולם בנד"ד נראה דחשוב כנכתב על דבר המתקיים.</w:t>
      </w:r>
    </w:p>
    <w:p w:rsidR="000945A4" w:rsidRPr="00F87F87" w:rsidRDefault="000945A4" w:rsidP="000945A4">
      <w:pPr>
        <w:widowControl w:val="0"/>
        <w:spacing w:after="360" w:line="330" w:lineRule="exact"/>
        <w:ind w:firstLine="0"/>
        <w:rPr>
          <w:rFonts w:eastAsia="Calibri"/>
          <w:b/>
          <w:color w:val="auto"/>
          <w:sz w:val="26"/>
          <w:szCs w:val="26"/>
          <w:rtl/>
        </w:rPr>
      </w:pPr>
      <w:r w:rsidRPr="00F87F87">
        <w:rPr>
          <w:rFonts w:eastAsia="Calibri"/>
          <w:b/>
          <w:color w:val="auto"/>
          <w:sz w:val="26"/>
          <w:szCs w:val="26"/>
          <w:rtl/>
        </w:rPr>
        <w:t>נמצא דהסברות שנאמרו גבי פתיחת ספר לכאו' אינן שייכות בנד"ד, וא"כ אסור הדבר לכו"ע.</w:t>
      </w:r>
    </w:p>
    <w:p w:rsidR="00D61A51" w:rsidRDefault="000945A4" w:rsidP="000945A4">
      <w:pPr>
        <w:ind w:firstLine="0"/>
      </w:pPr>
      <w:r w:rsidRPr="00F87F87">
        <w:rPr>
          <w:rFonts w:eastAsia="Calibri"/>
          <w:b/>
          <w:color w:val="auto"/>
          <w:sz w:val="26"/>
          <w:szCs w:val="26"/>
          <w:rtl/>
        </w:rPr>
        <w:t xml:space="preserve">אלא שיש לדון להתיר מטעם אחר דאינו דומה לספר, דהתם חשוב טפי כתיבה ומחיקה כיון שחלקי האותיות נפרדים זה מזה לגמרי בפתיחה, ומתחברים לכתב בסגירת הספר, </w:t>
      </w:r>
      <w:r w:rsidRPr="00F87F87">
        <w:rPr>
          <w:rFonts w:eastAsia="Calibri"/>
          <w:b/>
          <w:color w:val="auto"/>
          <w:sz w:val="26"/>
          <w:szCs w:val="26"/>
          <w:rtl/>
        </w:rPr>
        <w:lastRenderedPageBreak/>
        <w:t>משא"כ בבגד שהקשקשים עומדים זה אצל זה כצורת הכתב השלם, אלא שע"י ההיפוך מתבטל הכתב, שמא אינו חשוב מחיקה בזה, ואינו אלא כדף שכתוב ציור מב' צדדיו והופכו לצד השני, אלא שניתן להפוך כל חלק בנפרד. וצ"ע.</w:t>
      </w:r>
    </w:p>
    <w:sectPr w:rsidR="00D61A51" w:rsidSect="00494A6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00"/>
    <w:family w:val="swiss"/>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223"/>
    <w:rsid w:val="000945A4"/>
    <w:rsid w:val="00494A6B"/>
    <w:rsid w:val="004D4223"/>
    <w:rsid w:val="005E69AA"/>
    <w:rsid w:val="00D61A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3"/>
    <w:rsid w:val="000945A4"/>
    <w:pPr>
      <w:bidi/>
      <w:spacing w:after="120" w:line="360" w:lineRule="auto"/>
      <w:ind w:firstLine="227"/>
      <w:jc w:val="both"/>
    </w:pPr>
    <w:rPr>
      <w:rFonts w:ascii="Calibri" w:eastAsia="Times New Roman" w:hAnsi="Calibri" w:cs="Narkisim"/>
      <w:color w:val="000000"/>
      <w:szCs w:val="20"/>
    </w:rPr>
  </w:style>
  <w:style w:type="paragraph" w:styleId="3">
    <w:name w:val="heading 3"/>
    <w:basedOn w:val="a"/>
    <w:next w:val="a"/>
    <w:link w:val="30"/>
    <w:uiPriority w:val="9"/>
    <w:semiHidden/>
    <w:unhideWhenUsed/>
    <w:qFormat/>
    <w:rsid w:val="000945A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0945A4"/>
    <w:rPr>
      <w:rFonts w:asciiTheme="majorHAnsi" w:eastAsiaTheme="majorEastAsia" w:hAnsiTheme="majorHAnsi" w:cstheme="majorBidi"/>
      <w:b/>
      <w:bCs/>
      <w:color w:val="4F81BD" w:themeColor="accent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3"/>
    <w:rsid w:val="000945A4"/>
    <w:pPr>
      <w:bidi/>
      <w:spacing w:after="120" w:line="360" w:lineRule="auto"/>
      <w:ind w:firstLine="227"/>
      <w:jc w:val="both"/>
    </w:pPr>
    <w:rPr>
      <w:rFonts w:ascii="Calibri" w:eastAsia="Times New Roman" w:hAnsi="Calibri" w:cs="Narkisim"/>
      <w:color w:val="000000"/>
      <w:szCs w:val="20"/>
    </w:rPr>
  </w:style>
  <w:style w:type="paragraph" w:styleId="3">
    <w:name w:val="heading 3"/>
    <w:basedOn w:val="a"/>
    <w:next w:val="a"/>
    <w:link w:val="30"/>
    <w:uiPriority w:val="9"/>
    <w:semiHidden/>
    <w:unhideWhenUsed/>
    <w:qFormat/>
    <w:rsid w:val="000945A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0945A4"/>
    <w:rPr>
      <w:rFonts w:asciiTheme="majorHAnsi" w:eastAsiaTheme="majorEastAsia" w:hAnsiTheme="majorHAnsi" w:cstheme="majorBidi"/>
      <w:b/>
      <w:bCs/>
      <w:color w:val="4F81BD" w:themeColor="accent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757</Words>
  <Characters>3789</Characters>
  <Application>Microsoft Office Word</Application>
  <DocSecurity>0</DocSecurity>
  <Lines>31</Lines>
  <Paragraphs>9</Paragraphs>
  <ScaleCrop>false</ScaleCrop>
  <Company/>
  <LinksUpToDate>false</LinksUpToDate>
  <CharactersWithSpaces>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זנגר</dc:creator>
  <cp:keywords/>
  <dc:description/>
  <cp:lastModifiedBy>זנגר</cp:lastModifiedBy>
  <cp:revision>2</cp:revision>
  <dcterms:created xsi:type="dcterms:W3CDTF">2018-11-14T10:17:00Z</dcterms:created>
  <dcterms:modified xsi:type="dcterms:W3CDTF">2018-11-14T10:17:00Z</dcterms:modified>
</cp:coreProperties>
</file>